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BDDA4" w14:textId="77777777" w:rsidR="002743B3" w:rsidRPr="00FD6B05" w:rsidRDefault="002743B3" w:rsidP="009F29A3">
      <w:pPr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FD6B05">
        <w:rPr>
          <w:rFonts w:ascii="Times New Roman" w:hAnsi="Times New Roman" w:cs="Times New Roman"/>
          <w:b/>
          <w:sz w:val="22"/>
          <w:szCs w:val="22"/>
          <w:lang w:val="en-US"/>
        </w:rPr>
        <w:t xml:space="preserve">Self-Access Environments as Self-Enriching </w:t>
      </w:r>
    </w:p>
    <w:p w14:paraId="48C35B4F" w14:textId="0992C815" w:rsidR="00FD6B05" w:rsidRPr="00FD6B05" w:rsidRDefault="002743B3" w:rsidP="00FD6B05">
      <w:pPr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FD6B05">
        <w:rPr>
          <w:rFonts w:ascii="Times New Roman" w:hAnsi="Times New Roman" w:cs="Times New Roman"/>
          <w:b/>
          <w:sz w:val="22"/>
          <w:szCs w:val="22"/>
          <w:lang w:val="en-US"/>
        </w:rPr>
        <w:t xml:space="preserve">Complex Dynamic </w:t>
      </w:r>
      <w:proofErr w:type="spellStart"/>
      <w:r w:rsidRPr="00FD6B05">
        <w:rPr>
          <w:rFonts w:ascii="Times New Roman" w:hAnsi="Times New Roman" w:cs="Times New Roman"/>
          <w:b/>
          <w:sz w:val="22"/>
          <w:szCs w:val="22"/>
          <w:lang w:val="en-US"/>
        </w:rPr>
        <w:t>Ecosocial</w:t>
      </w:r>
      <w:proofErr w:type="spellEnd"/>
      <w:r w:rsidRPr="00FD6B05">
        <w:rPr>
          <w:rFonts w:ascii="Times New Roman" w:hAnsi="Times New Roman" w:cs="Times New Roman"/>
          <w:b/>
          <w:sz w:val="22"/>
          <w:szCs w:val="22"/>
          <w:lang w:val="en-US"/>
        </w:rPr>
        <w:t xml:space="preserve"> Systems</w:t>
      </w:r>
    </w:p>
    <w:p w14:paraId="7A688068" w14:textId="77777777" w:rsidR="00FD6B05" w:rsidRPr="00FD6B05" w:rsidRDefault="00FD6B05" w:rsidP="00FD6B05">
      <w:pPr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46288D4A" w14:textId="143D6E14" w:rsidR="009F29A3" w:rsidRPr="00FD6B05" w:rsidRDefault="004A1D7A" w:rsidP="004A1D7A">
      <w:pPr>
        <w:pStyle w:val="NormalWeb"/>
        <w:spacing w:before="0" w:beforeAutospacing="0" w:after="0" w:afterAutospacing="0" w:line="276" w:lineRule="auto"/>
        <w:jc w:val="center"/>
        <w:rPr>
          <w:rFonts w:ascii="Times New Roman" w:hAnsi="Times New Roman"/>
          <w:sz w:val="22"/>
          <w:szCs w:val="22"/>
        </w:rPr>
      </w:pPr>
      <w:r w:rsidRPr="00FD6B05">
        <w:rPr>
          <w:rFonts w:ascii="Times New Roman" w:hAnsi="Times New Roman"/>
          <w:sz w:val="22"/>
          <w:szCs w:val="22"/>
        </w:rPr>
        <w:t xml:space="preserve">Dr. </w:t>
      </w:r>
      <w:proofErr w:type="spellStart"/>
      <w:r w:rsidRPr="00FD6B05">
        <w:rPr>
          <w:rFonts w:ascii="Times New Roman" w:hAnsi="Times New Roman"/>
          <w:sz w:val="22"/>
          <w:szCs w:val="22"/>
        </w:rPr>
        <w:t>Garold</w:t>
      </w:r>
      <w:proofErr w:type="spellEnd"/>
      <w:r w:rsidRPr="00FD6B05">
        <w:rPr>
          <w:rFonts w:ascii="Times New Roman" w:hAnsi="Times New Roman"/>
          <w:sz w:val="22"/>
          <w:szCs w:val="22"/>
        </w:rPr>
        <w:t xml:space="preserve"> Murray, Okayama University</w:t>
      </w:r>
    </w:p>
    <w:p w14:paraId="42961F59" w14:textId="5F12940F" w:rsidR="004A1D7A" w:rsidRPr="00FD6B05" w:rsidRDefault="002743B3" w:rsidP="004A1D7A">
      <w:pPr>
        <w:pStyle w:val="NormalWeb"/>
        <w:spacing w:before="0" w:beforeAutospacing="0" w:after="0" w:afterAutospacing="0" w:line="276" w:lineRule="auto"/>
        <w:jc w:val="center"/>
        <w:rPr>
          <w:rFonts w:ascii="Times New Roman" w:hAnsi="Times New Roman"/>
          <w:sz w:val="22"/>
          <w:szCs w:val="22"/>
        </w:rPr>
      </w:pPr>
      <w:r w:rsidRPr="00FD6B05">
        <w:rPr>
          <w:rFonts w:ascii="Times New Roman" w:hAnsi="Times New Roman"/>
          <w:sz w:val="22"/>
          <w:szCs w:val="22"/>
        </w:rPr>
        <w:t>K</w:t>
      </w:r>
      <w:bookmarkStart w:id="0" w:name="_GoBack"/>
      <w:bookmarkEnd w:id="0"/>
      <w:r w:rsidRPr="00FD6B05">
        <w:rPr>
          <w:rFonts w:ascii="Times New Roman" w:hAnsi="Times New Roman"/>
          <w:sz w:val="22"/>
          <w:szCs w:val="22"/>
        </w:rPr>
        <w:t>eynote</w:t>
      </w:r>
      <w:r w:rsidR="004A1D7A" w:rsidRPr="00FD6B05">
        <w:rPr>
          <w:rFonts w:ascii="Times New Roman" w:hAnsi="Times New Roman"/>
          <w:sz w:val="22"/>
          <w:szCs w:val="22"/>
        </w:rPr>
        <w:t xml:space="preserve"> presented at the </w:t>
      </w:r>
      <w:r w:rsidRPr="00FD6B05">
        <w:rPr>
          <w:rFonts w:ascii="Times New Roman" w:hAnsi="Times New Roman"/>
          <w:sz w:val="22"/>
          <w:szCs w:val="22"/>
        </w:rPr>
        <w:t>Japan Association of Self-Access Learning</w:t>
      </w:r>
      <w:r w:rsidR="00686A12" w:rsidRPr="00FD6B05">
        <w:rPr>
          <w:rFonts w:ascii="Times New Roman" w:hAnsi="Times New Roman"/>
          <w:sz w:val="22"/>
          <w:szCs w:val="22"/>
        </w:rPr>
        <w:t xml:space="preserve"> Annual Conference</w:t>
      </w:r>
    </w:p>
    <w:p w14:paraId="73921F19" w14:textId="66C6F9C2" w:rsidR="004A1D7A" w:rsidRPr="00FD6B05" w:rsidRDefault="00686A12" w:rsidP="00686A12">
      <w:pPr>
        <w:pStyle w:val="NormalWeb"/>
        <w:spacing w:before="0" w:beforeAutospacing="0" w:after="0" w:afterAutospacing="0" w:line="276" w:lineRule="auto"/>
        <w:jc w:val="center"/>
        <w:rPr>
          <w:rFonts w:ascii="Times New Roman" w:hAnsi="Times New Roman"/>
          <w:sz w:val="22"/>
          <w:szCs w:val="22"/>
        </w:rPr>
      </w:pPr>
      <w:r w:rsidRPr="00FD6B05">
        <w:rPr>
          <w:rFonts w:ascii="Times New Roman" w:hAnsi="Times New Roman"/>
          <w:sz w:val="22"/>
          <w:szCs w:val="22"/>
        </w:rPr>
        <w:t xml:space="preserve">Kanda University of </w:t>
      </w:r>
      <w:r w:rsidR="00FD6B05" w:rsidRPr="00FD6B05">
        <w:rPr>
          <w:rFonts w:ascii="Times New Roman" w:hAnsi="Times New Roman"/>
          <w:sz w:val="22"/>
          <w:szCs w:val="22"/>
        </w:rPr>
        <w:t>International Studies, 16 December 2017</w:t>
      </w:r>
    </w:p>
    <w:p w14:paraId="5C2A35C6" w14:textId="77777777" w:rsidR="00FD6B05" w:rsidRPr="00FD6B05" w:rsidRDefault="00FD6B05" w:rsidP="00C17372">
      <w:pPr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  <w:lang w:val="en-US"/>
        </w:rPr>
      </w:pPr>
    </w:p>
    <w:p w14:paraId="3B8824AC" w14:textId="77777777" w:rsidR="00C17372" w:rsidRPr="00FD6B05" w:rsidRDefault="00C17372" w:rsidP="00C17372">
      <w:pPr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Benson, P. (2011). </w:t>
      </w:r>
      <w:r w:rsidRPr="00FD6B05">
        <w:rPr>
          <w:rFonts w:ascii="Times New Roman" w:hAnsi="Times New Roman" w:cs="Times New Roman"/>
          <w:i/>
          <w:sz w:val="22"/>
          <w:szCs w:val="22"/>
        </w:rPr>
        <w:t>Teaching and researching autonomy</w:t>
      </w:r>
      <w:r w:rsidRPr="00FD6B05">
        <w:rPr>
          <w:rFonts w:ascii="Times New Roman" w:hAnsi="Times New Roman" w:cs="Times New Roman"/>
          <w:sz w:val="22"/>
          <w:szCs w:val="22"/>
        </w:rPr>
        <w:t xml:space="preserve"> (2</w:t>
      </w:r>
      <w:r w:rsidRPr="00FD6B05">
        <w:rPr>
          <w:rFonts w:ascii="Times New Roman" w:hAnsi="Times New Roman" w:cs="Times New Roman"/>
          <w:sz w:val="22"/>
          <w:szCs w:val="22"/>
          <w:vertAlign w:val="superscript"/>
        </w:rPr>
        <w:t>nd</w:t>
      </w:r>
      <w:r w:rsidRPr="00FD6B05">
        <w:rPr>
          <w:rFonts w:ascii="Times New Roman" w:hAnsi="Times New Roman" w:cs="Times New Roman"/>
          <w:sz w:val="22"/>
          <w:szCs w:val="22"/>
        </w:rPr>
        <w:t xml:space="preserve"> ed.). London: Longman.</w:t>
      </w:r>
    </w:p>
    <w:p w14:paraId="70F3A470" w14:textId="77777777" w:rsidR="00C17372" w:rsidRPr="00FD6B05" w:rsidRDefault="00C17372" w:rsidP="00C17372">
      <w:pPr>
        <w:tabs>
          <w:tab w:val="right" w:pos="-14642"/>
          <w:tab w:val="left" w:pos="-8960"/>
          <w:tab w:val="center" w:pos="-14642"/>
          <w:tab w:val="right" w:pos="-8885"/>
          <w:tab w:val="decimal" w:pos="-14642"/>
          <w:tab w:val="right" w:leader="dot" w:pos="-8774"/>
          <w:tab w:val="center" w:pos="-14642"/>
          <w:tab w:val="left" w:pos="-8718"/>
          <w:tab w:val="right" w:pos="-14642"/>
          <w:tab w:val="left" w:pos="-8633"/>
          <w:tab w:val="center" w:pos="-14642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Benson, P., &amp; Cooker, L. (2013). The social and the individual in Applied Linguistics research. In P. Benson and L. Cooker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>The applied linguistic individual: Sociocultural approaches to identity, agency and autonomy</w:t>
      </w:r>
      <w:r w:rsidRPr="00FD6B05">
        <w:rPr>
          <w:rFonts w:ascii="Times New Roman" w:hAnsi="Times New Roman" w:cs="Times New Roman"/>
          <w:sz w:val="22"/>
          <w:szCs w:val="22"/>
        </w:rPr>
        <w:t xml:space="preserve"> (pp. 1–16). Sheffield, UK: Equinox.</w:t>
      </w:r>
    </w:p>
    <w:p w14:paraId="33ED8EB2" w14:textId="47EBB85F" w:rsidR="00C17372" w:rsidRPr="00FD6B05" w:rsidRDefault="00C17372" w:rsidP="00C17372">
      <w:pPr>
        <w:tabs>
          <w:tab w:val="right" w:pos="-14642"/>
          <w:tab w:val="center" w:pos="-14642"/>
          <w:tab w:val="right" w:pos="-14642"/>
          <w:tab w:val="right" w:pos="-14642"/>
          <w:tab w:val="decimal" w:pos="-14642"/>
          <w:tab w:val="center" w:pos="-14642"/>
          <w:tab w:val="right" w:pos="-14642"/>
          <w:tab w:val="left" w:pos="-14645"/>
          <w:tab w:val="left" w:pos="-8960"/>
          <w:tab w:val="center" w:pos="-14642"/>
          <w:tab w:val="right" w:pos="-8885"/>
          <w:tab w:val="decimal" w:pos="-14642"/>
          <w:tab w:val="right" w:leader="dot" w:pos="-8774"/>
          <w:tab w:val="center" w:pos="-14642"/>
          <w:tab w:val="left" w:pos="-8718"/>
          <w:tab w:val="right" w:pos="-14642"/>
          <w:tab w:val="left" w:pos="-8633"/>
          <w:tab w:val="center" w:pos="-14642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Carter, E., Donald, J., &amp; Squires, J. (1993). </w:t>
      </w:r>
      <w:r w:rsidRPr="00FD6B05">
        <w:rPr>
          <w:rFonts w:ascii="Times New Roman" w:hAnsi="Times New Roman" w:cs="Times New Roman"/>
          <w:i/>
          <w:sz w:val="22"/>
          <w:szCs w:val="22"/>
        </w:rPr>
        <w:t>Space and place: Theories of identity and location</w:t>
      </w:r>
      <w:r w:rsidRPr="00FD6B05">
        <w:rPr>
          <w:rFonts w:ascii="Times New Roman" w:hAnsi="Times New Roman" w:cs="Times New Roman"/>
          <w:sz w:val="22"/>
          <w:szCs w:val="22"/>
        </w:rPr>
        <w:t xml:space="preserve">. London: Lawrence and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Wishart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>.</w:t>
      </w:r>
    </w:p>
    <w:p w14:paraId="40126504" w14:textId="2954A259" w:rsidR="00C17372" w:rsidRPr="00FD6B05" w:rsidRDefault="00C17372" w:rsidP="00C17372">
      <w:pPr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8960"/>
          <w:tab w:val="center" w:pos="-14642"/>
          <w:tab w:val="right" w:pos="-8885"/>
          <w:tab w:val="decimal" w:pos="-14642"/>
          <w:tab w:val="right" w:leader="dot" w:pos="-8774"/>
          <w:tab w:val="center" w:pos="-14642"/>
          <w:tab w:val="left" w:pos="-8718"/>
          <w:tab w:val="right" w:pos="-14642"/>
          <w:tab w:val="left" w:pos="-8633"/>
          <w:tab w:val="center" w:pos="-14642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Cresswell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T. (2004). </w:t>
      </w:r>
      <w:r w:rsidRPr="00FD6B05">
        <w:rPr>
          <w:rFonts w:ascii="Times New Roman" w:hAnsi="Times New Roman" w:cs="Times New Roman"/>
          <w:i/>
          <w:sz w:val="22"/>
          <w:szCs w:val="22"/>
        </w:rPr>
        <w:t>Place: A short introduction</w:t>
      </w:r>
      <w:r w:rsidRPr="00FD6B05">
        <w:rPr>
          <w:rFonts w:ascii="Times New Roman" w:hAnsi="Times New Roman" w:cs="Times New Roman"/>
          <w:sz w:val="22"/>
          <w:szCs w:val="22"/>
        </w:rPr>
        <w:t>. Malden, MA: Blackwell.</w:t>
      </w:r>
    </w:p>
    <w:p w14:paraId="6519AE43" w14:textId="77777777" w:rsidR="00C17372" w:rsidRPr="00FD6B05" w:rsidRDefault="00C17372" w:rsidP="00C17372">
      <w:pPr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>Davis, B.</w:t>
      </w:r>
      <w:r w:rsidRPr="00FD6B05">
        <w:rPr>
          <w:rFonts w:ascii="Times New Roman" w:eastAsia="SimSun" w:hAnsi="Times New Roman" w:cs="Times New Roman"/>
          <w:sz w:val="22"/>
          <w:szCs w:val="22"/>
          <w:lang w:eastAsia="zh-CN"/>
        </w:rPr>
        <w:t>,</w:t>
      </w:r>
      <w:r w:rsidRPr="00FD6B05">
        <w:rPr>
          <w:rFonts w:ascii="Times New Roman" w:hAnsi="Times New Roman" w:cs="Times New Roman"/>
          <w:sz w:val="22"/>
          <w:szCs w:val="22"/>
        </w:rPr>
        <w:t xml:space="preserve"> &amp;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Sumara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D. (2006). 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 Complexity and </w:t>
      </w:r>
      <w:r w:rsidRPr="00FD6B05">
        <w:rPr>
          <w:rFonts w:ascii="Times New Roman" w:eastAsia="SimSun" w:hAnsi="Times New Roman" w:cs="Times New Roman"/>
          <w:i/>
          <w:sz w:val="22"/>
          <w:szCs w:val="22"/>
          <w:lang w:eastAsia="zh-CN"/>
        </w:rPr>
        <w:t>e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ducation: Inquiries into </w:t>
      </w:r>
      <w:r w:rsidRPr="00FD6B05">
        <w:rPr>
          <w:rFonts w:ascii="Times New Roman" w:eastAsia="SimSun" w:hAnsi="Times New Roman" w:cs="Times New Roman"/>
          <w:i/>
          <w:sz w:val="22"/>
          <w:szCs w:val="22"/>
          <w:lang w:eastAsia="zh-CN"/>
        </w:rPr>
        <w:t>l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earning, </w:t>
      </w:r>
      <w:r w:rsidRPr="00FD6B05">
        <w:rPr>
          <w:rFonts w:ascii="Times New Roman" w:eastAsia="SimSun" w:hAnsi="Times New Roman" w:cs="Times New Roman"/>
          <w:i/>
          <w:sz w:val="22"/>
          <w:szCs w:val="22"/>
          <w:lang w:eastAsia="zh-CN"/>
        </w:rPr>
        <w:t>t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eaching, and </w:t>
      </w:r>
      <w:r w:rsidRPr="00FD6B05">
        <w:rPr>
          <w:rFonts w:ascii="Times New Roman" w:eastAsia="SimSun" w:hAnsi="Times New Roman" w:cs="Times New Roman"/>
          <w:i/>
          <w:sz w:val="22"/>
          <w:szCs w:val="22"/>
          <w:lang w:eastAsia="zh-CN"/>
        </w:rPr>
        <w:t>r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esearch. </w:t>
      </w:r>
      <w:r w:rsidRPr="00FD6B05">
        <w:rPr>
          <w:rFonts w:ascii="Times New Roman" w:hAnsi="Times New Roman" w:cs="Times New Roman"/>
          <w:sz w:val="22"/>
          <w:szCs w:val="22"/>
        </w:rPr>
        <w:t>New York: Routledge.</w:t>
      </w:r>
    </w:p>
    <w:p w14:paraId="01C21E0A" w14:textId="77777777" w:rsidR="00C17372" w:rsidRPr="00FD6B05" w:rsidRDefault="00C17372" w:rsidP="00C17372">
      <w:pPr>
        <w:tabs>
          <w:tab w:val="center" w:pos="-14642"/>
          <w:tab w:val="right" w:pos="-14642"/>
          <w:tab w:val="right" w:pos="-14642"/>
          <w:tab w:val="decimal" w:pos="-14642"/>
          <w:tab w:val="center" w:pos="-14642"/>
          <w:tab w:val="right" w:pos="-14642"/>
          <w:tab w:val="left" w:pos="-14645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Dörnyei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>, Z. (2014). Researching complex dynamic systems: ‘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Retrodictive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 qualitative modelling’ in the language classroom. </w:t>
      </w:r>
      <w:r w:rsidRPr="00FD6B05">
        <w:rPr>
          <w:rFonts w:ascii="Times New Roman" w:hAnsi="Times New Roman" w:cs="Times New Roman"/>
          <w:i/>
          <w:sz w:val="22"/>
          <w:szCs w:val="22"/>
        </w:rPr>
        <w:t>Language Teaching, 47</w:t>
      </w:r>
      <w:r w:rsidRPr="00FD6B05">
        <w:rPr>
          <w:rFonts w:ascii="Times New Roman" w:hAnsi="Times New Roman" w:cs="Times New Roman"/>
          <w:sz w:val="22"/>
          <w:szCs w:val="22"/>
        </w:rPr>
        <w:t>, 80–91.</w:t>
      </w:r>
    </w:p>
    <w:p w14:paraId="209FBEB9" w14:textId="77777777" w:rsidR="00C17372" w:rsidRPr="00FD6B05" w:rsidRDefault="00C17372" w:rsidP="00C17372">
      <w:pPr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Gibson, J.J. (1986). 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The Ecological approach to visual perception. </w:t>
      </w:r>
      <w:r w:rsidRPr="00FD6B05">
        <w:rPr>
          <w:rFonts w:ascii="Times New Roman" w:hAnsi="Times New Roman" w:cs="Times New Roman"/>
          <w:sz w:val="22"/>
          <w:szCs w:val="22"/>
        </w:rPr>
        <w:t xml:space="preserve"> New York, NY: Psychology Press.</w:t>
      </w:r>
    </w:p>
    <w:p w14:paraId="0B14FF88" w14:textId="77777777" w:rsidR="00C17372" w:rsidRPr="00FD6B05" w:rsidRDefault="00C17372" w:rsidP="00C17372">
      <w:pPr>
        <w:ind w:left="720" w:hanging="720"/>
        <w:rPr>
          <w:rFonts w:ascii="Times New Roman" w:hAnsi="Times New Roman" w:cs="Times New Roman"/>
          <w:sz w:val="22"/>
          <w:szCs w:val="22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Holec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H. (1981). </w:t>
      </w:r>
      <w:r w:rsidRPr="00FD6B05">
        <w:rPr>
          <w:rFonts w:ascii="Times New Roman" w:hAnsi="Times New Roman" w:cs="Times New Roman"/>
          <w:i/>
          <w:sz w:val="22"/>
          <w:szCs w:val="22"/>
        </w:rPr>
        <w:t>Autonomy and foreign language learning</w:t>
      </w:r>
      <w:r w:rsidRPr="00FD6B05">
        <w:rPr>
          <w:rFonts w:ascii="Times New Roman" w:hAnsi="Times New Roman" w:cs="Times New Roman"/>
          <w:sz w:val="22"/>
          <w:szCs w:val="22"/>
        </w:rPr>
        <w:t xml:space="preserve">. Oxford: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Pergamon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>.</w:t>
      </w:r>
    </w:p>
    <w:p w14:paraId="1C2B5EBD" w14:textId="46DE4816" w:rsidR="00C7721E" w:rsidRPr="00FD6B05" w:rsidRDefault="00C7721E" w:rsidP="00C17372">
      <w:pPr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Jaworski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A. &amp;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Thurlow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C. 2010.  Introducing semiotic landscapes. In A.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Jaworski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 and C.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Thurlow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Semiotic landscapes: Language, image, space </w:t>
      </w:r>
      <w:r w:rsidRPr="00FD6B05">
        <w:rPr>
          <w:rFonts w:ascii="Times New Roman" w:hAnsi="Times New Roman" w:cs="Times New Roman"/>
          <w:sz w:val="22"/>
          <w:szCs w:val="22"/>
        </w:rPr>
        <w:t>(pp. 1-40)</w:t>
      </w:r>
      <w:r w:rsidRPr="00FD6B05">
        <w:rPr>
          <w:rFonts w:ascii="Times New Roman" w:hAnsi="Times New Roman" w:cs="Times New Roman"/>
          <w:i/>
          <w:sz w:val="22"/>
          <w:szCs w:val="22"/>
        </w:rPr>
        <w:t>.</w:t>
      </w:r>
      <w:r w:rsidRPr="00FD6B05">
        <w:rPr>
          <w:rFonts w:ascii="Times New Roman" w:hAnsi="Times New Roman" w:cs="Times New Roman"/>
          <w:sz w:val="22"/>
          <w:szCs w:val="22"/>
        </w:rPr>
        <w:t xml:space="preserve"> London: Continuum.</w:t>
      </w:r>
    </w:p>
    <w:p w14:paraId="6A5CD041" w14:textId="77777777" w:rsidR="00C17372" w:rsidRPr="00FD6B05" w:rsidRDefault="00C17372" w:rsidP="00C17372">
      <w:pPr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Kramsch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C. (2002). </w:t>
      </w:r>
      <w:r w:rsidRPr="00FD6B05">
        <w:rPr>
          <w:rFonts w:ascii="Times New Roman" w:hAnsi="Times New Roman" w:cs="Times New Roman"/>
          <w:i/>
          <w:sz w:val="22"/>
          <w:szCs w:val="22"/>
        </w:rPr>
        <w:t>Language Acquisition and Language Socialization: Ecological Perspectives</w:t>
      </w:r>
      <w:r w:rsidRPr="00FD6B05">
        <w:rPr>
          <w:rFonts w:ascii="Times New Roman" w:hAnsi="Times New Roman" w:cs="Times New Roman"/>
          <w:sz w:val="22"/>
          <w:szCs w:val="22"/>
        </w:rPr>
        <w:t>. London: Continuum.</w:t>
      </w:r>
    </w:p>
    <w:p w14:paraId="33EB0464" w14:textId="79728834" w:rsidR="00C7721E" w:rsidRPr="00FD6B05" w:rsidRDefault="00C7721E" w:rsidP="00C7721E">
      <w:pPr>
        <w:widowControl w:val="0"/>
        <w:tabs>
          <w:tab w:val="left" w:pos="-9035"/>
          <w:tab w:val="right" w:pos="-14642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spacing w:before="100" w:beforeAutospacing="1" w:after="100" w:afterAutospacing="1"/>
        <w:ind w:left="720" w:hanging="720"/>
        <w:contextualSpacing/>
        <w:rPr>
          <w:rFonts w:ascii="Times New Roman" w:hAnsi="Times New Roman" w:cs="Times New Roman"/>
          <w:color w:val="1C1C1C"/>
          <w:sz w:val="22"/>
          <w:szCs w:val="22"/>
        </w:rPr>
      </w:pPr>
      <w:r w:rsidRPr="00FD6B05">
        <w:rPr>
          <w:rFonts w:ascii="Times New Roman" w:hAnsi="Times New Roman" w:cs="Times New Roman"/>
          <w:color w:val="1C1C1C"/>
          <w:sz w:val="22"/>
          <w:szCs w:val="22"/>
        </w:rPr>
        <w:t xml:space="preserve">Landry, R. &amp; </w:t>
      </w:r>
      <w:proofErr w:type="spellStart"/>
      <w:r w:rsidRPr="00FD6B05">
        <w:rPr>
          <w:rFonts w:ascii="Times New Roman" w:hAnsi="Times New Roman" w:cs="Times New Roman"/>
          <w:color w:val="1C1C1C"/>
          <w:sz w:val="22"/>
          <w:szCs w:val="22"/>
        </w:rPr>
        <w:t>Bourhis</w:t>
      </w:r>
      <w:proofErr w:type="spellEnd"/>
      <w:r w:rsidRPr="00FD6B05">
        <w:rPr>
          <w:rFonts w:ascii="Times New Roman" w:hAnsi="Times New Roman" w:cs="Times New Roman"/>
          <w:color w:val="1C1C1C"/>
          <w:sz w:val="22"/>
          <w:szCs w:val="22"/>
        </w:rPr>
        <w:t xml:space="preserve">, R.Y. (1997). Linguistic landscape and ethnolinguistic vitality: An empirical study. </w:t>
      </w:r>
      <w:r w:rsidRPr="00FD6B05">
        <w:rPr>
          <w:rFonts w:ascii="Times New Roman" w:hAnsi="Times New Roman" w:cs="Times New Roman"/>
          <w:i/>
          <w:color w:val="1C1C1C"/>
          <w:sz w:val="22"/>
          <w:szCs w:val="22"/>
        </w:rPr>
        <w:t>Journal of Language and Social Psychology, 16</w:t>
      </w:r>
      <w:r w:rsidRPr="00FD6B05">
        <w:rPr>
          <w:rFonts w:ascii="Times New Roman" w:hAnsi="Times New Roman" w:cs="Times New Roman"/>
          <w:color w:val="1C1C1C"/>
          <w:sz w:val="22"/>
          <w:szCs w:val="22"/>
        </w:rPr>
        <w:t xml:space="preserve">(1), 23–49. </w:t>
      </w:r>
    </w:p>
    <w:p w14:paraId="55EDFA7E" w14:textId="77777777" w:rsidR="00C17372" w:rsidRPr="00FD6B05" w:rsidRDefault="00C17372" w:rsidP="00C17372">
      <w:pPr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decimal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Larsen-Freeman, D., &amp; Cameron, L. (2008). </w:t>
      </w:r>
      <w:r w:rsidRPr="00FD6B05">
        <w:rPr>
          <w:rFonts w:ascii="Times New Roman" w:hAnsi="Times New Roman" w:cs="Times New Roman"/>
          <w:i/>
          <w:sz w:val="22"/>
          <w:szCs w:val="22"/>
        </w:rPr>
        <w:t>Complex systems and applied linguistics</w:t>
      </w:r>
      <w:r w:rsidRPr="00FD6B05">
        <w:rPr>
          <w:rFonts w:ascii="Times New Roman" w:hAnsi="Times New Roman" w:cs="Times New Roman"/>
          <w:sz w:val="22"/>
          <w:szCs w:val="22"/>
        </w:rPr>
        <w:t xml:space="preserve">. Oxford: Oxford University Press. </w:t>
      </w:r>
    </w:p>
    <w:p w14:paraId="1EAF5687" w14:textId="77777777" w:rsidR="00C17372" w:rsidRPr="00FD6B05" w:rsidRDefault="00C17372" w:rsidP="00C17372">
      <w:pPr>
        <w:pStyle w:val="FootnoteText"/>
        <w:ind w:left="720" w:hanging="720"/>
        <w:rPr>
          <w:rFonts w:ascii="Times New Roman" w:hAnsi="Times New Roman" w:cs="Times New Roman"/>
          <w:color w:val="000000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Larsen-Freeman, D. (2015). Ten ‘lessons’ from complex dynamic systems theory: What is on offer. In Z. </w:t>
      </w:r>
      <w:proofErr w:type="spellStart"/>
      <w:r w:rsidRPr="00FD6B05">
        <w:rPr>
          <w:rFonts w:ascii="Times New Roman" w:hAnsi="Times New Roman" w:cs="Times New Roman"/>
          <w:color w:val="000000"/>
          <w:sz w:val="22"/>
          <w:szCs w:val="22"/>
        </w:rPr>
        <w:t>Dörnyei</w:t>
      </w:r>
      <w:proofErr w:type="spellEnd"/>
      <w:r w:rsidRPr="00FD6B05">
        <w:rPr>
          <w:rFonts w:ascii="Times New Roman" w:hAnsi="Times New Roman" w:cs="Times New Roman"/>
          <w:color w:val="000000"/>
          <w:sz w:val="22"/>
          <w:szCs w:val="22"/>
        </w:rPr>
        <w:t xml:space="preserve">, P.D. </w:t>
      </w:r>
      <w:proofErr w:type="spellStart"/>
      <w:r w:rsidRPr="00FD6B05">
        <w:rPr>
          <w:rFonts w:ascii="Times New Roman" w:hAnsi="Times New Roman" w:cs="Times New Roman"/>
          <w:color w:val="000000"/>
          <w:sz w:val="22"/>
          <w:szCs w:val="22"/>
        </w:rPr>
        <w:t>MacIntyre</w:t>
      </w:r>
      <w:proofErr w:type="spellEnd"/>
      <w:r w:rsidRPr="00FD6B05">
        <w:rPr>
          <w:rFonts w:ascii="Times New Roman" w:hAnsi="Times New Roman" w:cs="Times New Roman"/>
          <w:color w:val="000000"/>
          <w:sz w:val="22"/>
          <w:szCs w:val="22"/>
        </w:rPr>
        <w:t xml:space="preserve">, &amp; A. Henry (Eds.), </w:t>
      </w:r>
      <w:r w:rsidRPr="00FD6B05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Motivational dynamics in language learning </w:t>
      </w:r>
      <w:r w:rsidRPr="00FD6B05">
        <w:rPr>
          <w:rFonts w:ascii="Times New Roman" w:hAnsi="Times New Roman" w:cs="Times New Roman"/>
          <w:color w:val="000000"/>
          <w:sz w:val="22"/>
          <w:szCs w:val="22"/>
        </w:rPr>
        <w:t>(pp. 83–94)</w:t>
      </w:r>
      <w:r w:rsidRPr="00FD6B05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. </w:t>
      </w:r>
      <w:r w:rsidRPr="00FD6B05">
        <w:rPr>
          <w:rFonts w:ascii="Times New Roman" w:hAnsi="Times New Roman" w:cs="Times New Roman"/>
          <w:color w:val="000000"/>
          <w:sz w:val="22"/>
          <w:szCs w:val="22"/>
        </w:rPr>
        <w:t>Bristol: Multilingual Matters.</w:t>
      </w:r>
    </w:p>
    <w:p w14:paraId="2729F7A8" w14:textId="77777777" w:rsidR="00C17372" w:rsidRPr="00FD6B05" w:rsidRDefault="00C17372" w:rsidP="00C17372">
      <w:pPr>
        <w:ind w:left="720" w:hanging="720"/>
        <w:rPr>
          <w:rFonts w:ascii="Times New Roman" w:eastAsia="Times New Roman" w:hAnsi="Times New Roman" w:cs="Times New Roman"/>
          <w:sz w:val="22"/>
          <w:szCs w:val="22"/>
        </w:rPr>
      </w:pPr>
      <w:r w:rsidRPr="00FD6B05">
        <w:rPr>
          <w:rFonts w:ascii="Times New Roman" w:eastAsia="Times New Roman" w:hAnsi="Times New Roman" w:cs="Times New Roman"/>
          <w:color w:val="222222"/>
          <w:sz w:val="22"/>
          <w:szCs w:val="22"/>
          <w:shd w:val="clear" w:color="auto" w:fill="FFFFFF"/>
          <w:lang w:val="en-US"/>
        </w:rPr>
        <w:t>Liu, E., &amp; Noppe-Brandon, S. (2009).</w:t>
      </w:r>
      <w:r w:rsidRPr="00FD6B05">
        <w:rPr>
          <w:rStyle w:val="apple-converted-space"/>
          <w:rFonts w:ascii="Times New Roman" w:eastAsia="Times New Roman" w:hAnsi="Times New Roman" w:cs="Times New Roman"/>
          <w:color w:val="222222"/>
          <w:sz w:val="22"/>
          <w:szCs w:val="22"/>
          <w:shd w:val="clear" w:color="auto" w:fill="FFFFFF"/>
          <w:lang w:val="en-US"/>
        </w:rPr>
        <w:t> </w:t>
      </w:r>
      <w:r w:rsidRPr="00FD6B05">
        <w:rPr>
          <w:rFonts w:ascii="Times New Roman" w:eastAsia="Times New Roman" w:hAnsi="Times New Roman" w:cs="Times New Roman"/>
          <w:i/>
          <w:iCs/>
          <w:color w:val="222222"/>
          <w:sz w:val="22"/>
          <w:szCs w:val="22"/>
        </w:rPr>
        <w:t>Imagination first: Unlocking the power of possibility</w:t>
      </w:r>
      <w:r w:rsidRPr="00FD6B05">
        <w:rPr>
          <w:rFonts w:ascii="Times New Roman" w:eastAsia="Times New Roman" w:hAnsi="Times New Roman" w:cs="Times New Roman"/>
          <w:color w:val="222222"/>
          <w:sz w:val="22"/>
          <w:szCs w:val="22"/>
          <w:shd w:val="clear" w:color="auto" w:fill="FFFFFF"/>
        </w:rPr>
        <w:t xml:space="preserve">. San Francisco: </w:t>
      </w:r>
      <w:proofErr w:type="spellStart"/>
      <w:r w:rsidRPr="00FD6B05">
        <w:rPr>
          <w:rFonts w:ascii="Times New Roman" w:eastAsia="Times New Roman" w:hAnsi="Times New Roman" w:cs="Times New Roman"/>
          <w:color w:val="222222"/>
          <w:sz w:val="22"/>
          <w:szCs w:val="22"/>
          <w:shd w:val="clear" w:color="auto" w:fill="FFFFFF"/>
        </w:rPr>
        <w:t>Jossey</w:t>
      </w:r>
      <w:proofErr w:type="spellEnd"/>
      <w:r w:rsidRPr="00FD6B05">
        <w:rPr>
          <w:rFonts w:ascii="Times New Roman" w:eastAsia="Times New Roman" w:hAnsi="Times New Roman" w:cs="Times New Roman"/>
          <w:color w:val="222222"/>
          <w:sz w:val="22"/>
          <w:szCs w:val="22"/>
          <w:shd w:val="clear" w:color="auto" w:fill="FFFFFF"/>
        </w:rPr>
        <w:t>-Bass.</w:t>
      </w:r>
    </w:p>
    <w:p w14:paraId="0D405FBE" w14:textId="77777777" w:rsidR="00C17372" w:rsidRPr="00FD6B05" w:rsidRDefault="00C17372" w:rsidP="00C17372">
      <w:pPr>
        <w:tabs>
          <w:tab w:val="right" w:pos="-14642"/>
          <w:tab w:val="left" w:pos="-8960"/>
          <w:tab w:val="center" w:pos="-14642"/>
          <w:tab w:val="right" w:pos="-8885"/>
          <w:tab w:val="decimal" w:pos="-14642"/>
          <w:tab w:val="right" w:leader="dot" w:pos="-8774"/>
          <w:tab w:val="center" w:pos="-14642"/>
          <w:tab w:val="left" w:pos="-8718"/>
          <w:tab w:val="right" w:pos="-14642"/>
          <w:tab w:val="left" w:pos="-8633"/>
          <w:tab w:val="center" w:pos="-14642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Menezes, V. (2011). Affordances for language learning beyond the classroom. In P. Benson &amp; H.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Reinders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Beyond the language classroom </w:t>
      </w:r>
      <w:r w:rsidRPr="00FD6B05">
        <w:rPr>
          <w:rFonts w:ascii="Times New Roman" w:hAnsi="Times New Roman" w:cs="Times New Roman"/>
          <w:sz w:val="22"/>
          <w:szCs w:val="22"/>
        </w:rPr>
        <w:t>(pp. 59–71). Basingstoke: Palgrave Macmillan.</w:t>
      </w:r>
    </w:p>
    <w:p w14:paraId="099EAB9A" w14:textId="37957EF4" w:rsidR="00C17372" w:rsidRPr="00FD6B05" w:rsidRDefault="00C17372" w:rsidP="00C7721E">
      <w:pPr>
        <w:tabs>
          <w:tab w:val="right" w:pos="-14642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1272"/>
          <w:tab w:val="left" w:pos="-72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Paiva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V.L.M. de O, &amp; Braga, J.C.F. (2008). ‘The complex nature of autonomy’, </w:t>
      </w:r>
      <w:proofErr w:type="spellStart"/>
      <w:r w:rsidRPr="00FD6B05">
        <w:rPr>
          <w:rFonts w:ascii="Times New Roman" w:hAnsi="Times New Roman" w:cs="Times New Roman"/>
          <w:i/>
          <w:sz w:val="22"/>
          <w:szCs w:val="22"/>
        </w:rPr>
        <w:t>Revista</w:t>
      </w:r>
      <w:proofErr w:type="spellEnd"/>
      <w:r w:rsidRPr="00FD6B05">
        <w:rPr>
          <w:rFonts w:ascii="Times New Roman" w:hAnsi="Times New Roman" w:cs="Times New Roman"/>
          <w:i/>
          <w:sz w:val="22"/>
          <w:szCs w:val="22"/>
        </w:rPr>
        <w:t xml:space="preserve"> D.E.L.T.A.</w:t>
      </w:r>
      <w:r w:rsidRPr="00FD6B05">
        <w:rPr>
          <w:rFonts w:ascii="Times New Roman" w:hAnsi="Times New Roman" w:cs="Times New Roman"/>
          <w:sz w:val="22"/>
          <w:szCs w:val="22"/>
        </w:rPr>
        <w:t>,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FD6B05">
        <w:rPr>
          <w:rFonts w:ascii="Times New Roman" w:hAnsi="Times New Roman" w:cs="Times New Roman"/>
          <w:sz w:val="22"/>
          <w:szCs w:val="22"/>
        </w:rPr>
        <w:t>24 (especial): 441–468.</w:t>
      </w:r>
    </w:p>
    <w:p w14:paraId="71BCBB3A" w14:textId="77777777" w:rsidR="00C17372" w:rsidRPr="00FD6B05" w:rsidRDefault="00C17372" w:rsidP="00C17372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 (2009a). A self-directed learning course. In A. Smith &amp; G. Strong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Adult learners: Content, context, and innovation </w:t>
      </w:r>
      <w:r w:rsidRPr="00FD6B05">
        <w:rPr>
          <w:rFonts w:ascii="Times New Roman" w:hAnsi="Times New Roman" w:cs="Times New Roman"/>
          <w:sz w:val="22"/>
          <w:szCs w:val="22"/>
        </w:rPr>
        <w:t>(pp. 61–70)</w:t>
      </w:r>
      <w:r w:rsidRPr="00FD6B05">
        <w:rPr>
          <w:rFonts w:ascii="Times New Roman" w:hAnsi="Times New Roman" w:cs="Times New Roman"/>
          <w:i/>
          <w:sz w:val="22"/>
          <w:szCs w:val="22"/>
        </w:rPr>
        <w:t>.</w:t>
      </w:r>
      <w:r w:rsidRPr="00FD6B05">
        <w:rPr>
          <w:rFonts w:ascii="Times New Roman" w:hAnsi="Times New Roman" w:cs="Times New Roman"/>
          <w:sz w:val="22"/>
          <w:szCs w:val="22"/>
        </w:rPr>
        <w:t xml:space="preserve"> Alexandria, VA: TESOL.</w:t>
      </w:r>
    </w:p>
    <w:p w14:paraId="706788BE" w14:textId="5DE64B65" w:rsidR="00C17372" w:rsidRPr="00FD6B05" w:rsidRDefault="00C17372" w:rsidP="00C17372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  <w:lang w:val="en-CA"/>
        </w:rPr>
      </w:pP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Murray, G. (2009b). Self-access language learning: Structure, control and responsibility. In F.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Kjisik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, F., P.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Voller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>,</w:t>
      </w:r>
      <w:r w:rsidR="00C7721E"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N. Aoki, &amp; Y. Nakata (Eds.),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</w:t>
      </w:r>
      <w:r w:rsidRPr="00FD6B05">
        <w:rPr>
          <w:rFonts w:ascii="Times New Roman" w:hAnsi="Times New Roman" w:cs="Times New Roman"/>
          <w:i/>
          <w:sz w:val="22"/>
          <w:szCs w:val="22"/>
          <w:lang w:val="en-CA"/>
        </w:rPr>
        <w:t>Mapping the terrain of learner autonomy: Learning environments, learning communities and identities</w:t>
      </w:r>
      <w:r w:rsidR="00C7721E"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(pp. 118–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142).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Tempere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>, Finland: Tampere University Press.</w:t>
      </w:r>
    </w:p>
    <w:p w14:paraId="4EF5D7C9" w14:textId="77777777" w:rsidR="00C17372" w:rsidRPr="00FD6B05" w:rsidRDefault="00C17372" w:rsidP="00C17372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  <w:lang w:val="en-CA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 (2011a). 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>Imagination, metacognition and the L2 Self in a self-access learning environment.</w:t>
      </w:r>
      <w:r w:rsidRPr="00FD6B05">
        <w:rPr>
          <w:rFonts w:ascii="Times New Roman" w:hAnsi="Times New Roman" w:cs="Times New Roman"/>
          <w:sz w:val="22"/>
          <w:szCs w:val="22"/>
        </w:rPr>
        <w:t xml:space="preserve"> In G. Murray, X. Gao &amp; T. Lamb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>Identity, motivation and autonomy in language learning</w:t>
      </w:r>
      <w:r w:rsidRPr="00FD6B05">
        <w:rPr>
          <w:rFonts w:ascii="Times New Roman" w:hAnsi="Times New Roman" w:cs="Times New Roman"/>
          <w:sz w:val="22"/>
          <w:szCs w:val="22"/>
        </w:rPr>
        <w:t xml:space="preserve"> (pp. 75–91). Bristol: Multilingual Matters.</w:t>
      </w:r>
    </w:p>
    <w:p w14:paraId="4864101D" w14:textId="77777777" w:rsidR="00C17372" w:rsidRPr="00FD6B05" w:rsidRDefault="00C17372" w:rsidP="00C17372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jc w:val="both"/>
        <w:rPr>
          <w:rFonts w:ascii="Times New Roman" w:hAnsi="Times New Roman" w:cs="Times New Roman"/>
          <w:sz w:val="22"/>
          <w:szCs w:val="22"/>
          <w:lang w:val="en-CA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 (2011b). Older language learners, social learning spaces, and community. In P. Benson &amp; H. 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Reinders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>Beyond the language classroom</w:t>
      </w:r>
      <w:r w:rsidRPr="00FD6B05">
        <w:rPr>
          <w:rFonts w:ascii="Times New Roman" w:hAnsi="Times New Roman" w:cs="Times New Roman"/>
          <w:sz w:val="22"/>
          <w:szCs w:val="22"/>
        </w:rPr>
        <w:t xml:space="preserve"> (pp.132–145). Basingstoke: Palgrave Macmillan.</w:t>
      </w:r>
    </w:p>
    <w:p w14:paraId="1249F6CD" w14:textId="77777777" w:rsidR="009B6005" w:rsidRPr="00FD6B05" w:rsidRDefault="00C17372" w:rsidP="009B6005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 (2013). Pedagogy of the possible: Imagination, autonomy, and space. </w:t>
      </w:r>
      <w:r w:rsidRPr="00FD6B05">
        <w:rPr>
          <w:rFonts w:ascii="Times New Roman" w:hAnsi="Times New Roman" w:cs="Times New Roman"/>
          <w:i/>
          <w:sz w:val="22"/>
          <w:szCs w:val="22"/>
        </w:rPr>
        <w:t>Studies in Second Language Learning and Teaching</w:t>
      </w:r>
      <w:r w:rsidRPr="00FD6B05">
        <w:rPr>
          <w:rFonts w:ascii="Times New Roman" w:hAnsi="Times New Roman" w:cs="Times New Roman"/>
          <w:sz w:val="22"/>
          <w:szCs w:val="22"/>
        </w:rPr>
        <w:t xml:space="preserve">, 3(3), 377–396. </w:t>
      </w:r>
    </w:p>
    <w:p w14:paraId="55EC24F5" w14:textId="77777777" w:rsidR="009B6005" w:rsidRPr="00FD6B05" w:rsidRDefault="009B6005" w:rsidP="009B6005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lastRenderedPageBreak/>
        <w:t>Murray, G. (2017). Autonomy in the time of complexity: Lessons from beyond the classroom. </w:t>
      </w:r>
      <w:r w:rsidRPr="00FD6B05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bdr w:val="none" w:sz="0" w:space="0" w:color="auto" w:frame="1"/>
          <w:lang w:val="en-US"/>
        </w:rPr>
        <w:t>Studies in Self-Access Learning Journal, 8(</w:t>
      </w:r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2), 116–134. Retrieved from </w:t>
      </w:r>
      <w:hyperlink r:id="rId4" w:history="1">
        <w:r w:rsidRPr="00FD6B05">
          <w:rPr>
            <w:rStyle w:val="Hyperlink"/>
            <w:rFonts w:ascii="Times New Roman" w:eastAsia="Times New Roman" w:hAnsi="Times New Roman" w:cs="Times New Roman"/>
            <w:sz w:val="22"/>
            <w:szCs w:val="22"/>
            <w:shd w:val="clear" w:color="auto" w:fill="FFFFFF"/>
            <w:lang w:val="en-US"/>
          </w:rPr>
          <w:t>https://sisaljournal.org/archives/jun2017/murray1/</w:t>
        </w:r>
      </w:hyperlink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  </w:t>
      </w:r>
    </w:p>
    <w:p w14:paraId="42F909FC" w14:textId="77777777" w:rsidR="009B6005" w:rsidRPr="00FD6B05" w:rsidRDefault="009B6005" w:rsidP="009B6005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Murray, G. (2017). Autonomy and complexity in social learning space management. </w:t>
      </w:r>
      <w:r w:rsidRPr="00FD6B05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bdr w:val="none" w:sz="0" w:space="0" w:color="auto" w:frame="1"/>
          <w:lang w:val="en-US"/>
        </w:rPr>
        <w:t>Studies in Self-Access Learning Journal, 8(</w:t>
      </w:r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2), 183-193. Retrieved from </w:t>
      </w:r>
      <w:hyperlink r:id="rId5" w:history="1">
        <w:r w:rsidRPr="00FD6B05">
          <w:rPr>
            <w:rStyle w:val="Hyperlink"/>
            <w:rFonts w:ascii="Times New Roman" w:eastAsia="Times New Roman" w:hAnsi="Times New Roman" w:cs="Times New Roman"/>
            <w:sz w:val="22"/>
            <w:szCs w:val="22"/>
            <w:shd w:val="clear" w:color="auto" w:fill="FFFFFF"/>
            <w:lang w:val="en-US"/>
          </w:rPr>
          <w:t>https://sisaljournal.org/archives/jun2017/murray2/</w:t>
        </w:r>
      </w:hyperlink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 </w:t>
      </w:r>
    </w:p>
    <w:p w14:paraId="2274E214" w14:textId="6700D3EC" w:rsidR="00C17372" w:rsidRPr="00FD6B05" w:rsidRDefault="00C17372" w:rsidP="009B6005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G., &amp;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Fujishima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N. (2013). Social language learning spaces: Affordances in a community of learners. </w:t>
      </w:r>
      <w:r w:rsidRPr="00FD6B05">
        <w:rPr>
          <w:rFonts w:ascii="Times New Roman" w:hAnsi="Times New Roman" w:cs="Times New Roman"/>
          <w:i/>
          <w:sz w:val="22"/>
          <w:szCs w:val="22"/>
        </w:rPr>
        <w:t>Chinese Journal of Applied Linguistics, 36</w:t>
      </w:r>
      <w:r w:rsidRPr="00FD6B05">
        <w:rPr>
          <w:rFonts w:ascii="Times New Roman" w:hAnsi="Times New Roman" w:cs="Times New Roman"/>
          <w:sz w:val="22"/>
          <w:szCs w:val="22"/>
        </w:rPr>
        <w:t>(1), 141–157.</w:t>
      </w:r>
    </w:p>
    <w:p w14:paraId="7911D4C1" w14:textId="77777777" w:rsidR="00C17372" w:rsidRPr="00FD6B05" w:rsidRDefault="00C17372" w:rsidP="00C17372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  <w:lang w:val="en-CA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G., &amp;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Fujishima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>, N. (2016). Understanding a social space for language learning. In G.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Murray &amp; N.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Fujishima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(Eds.), </w:t>
      </w:r>
      <w:r w:rsidRPr="00FD6B05">
        <w:rPr>
          <w:rFonts w:ascii="Times New Roman" w:hAnsi="Times New Roman" w:cs="Times New Roman"/>
          <w:i/>
          <w:sz w:val="22"/>
          <w:szCs w:val="22"/>
          <w:lang w:val="en-CA"/>
        </w:rPr>
        <w:t>Social spaces for language learning: Stories from the L-café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(pp. 124–146). Basingstoke: Palgrave.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doi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>: 10.1057/978113730103.0023</w:t>
      </w:r>
    </w:p>
    <w:p w14:paraId="73245347" w14:textId="77777777" w:rsidR="00EF15F3" w:rsidRPr="00FD6B05" w:rsidRDefault="00C17372" w:rsidP="00EF15F3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G.,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Fujishima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N., &amp;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Uzuka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. M. (2014). Semiotics of place: Autonomy and space. In G. Murray (Ed.), 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Social dimensions of autonomy in language learning </w:t>
      </w:r>
      <w:r w:rsidRPr="00FD6B05">
        <w:rPr>
          <w:rFonts w:ascii="Times New Roman" w:hAnsi="Times New Roman" w:cs="Times New Roman"/>
          <w:sz w:val="22"/>
          <w:szCs w:val="22"/>
        </w:rPr>
        <w:t>(pp. 81–99)</w:t>
      </w:r>
      <w:r w:rsidRPr="00FD6B05">
        <w:rPr>
          <w:rFonts w:ascii="Times New Roman" w:hAnsi="Times New Roman" w:cs="Times New Roman"/>
          <w:i/>
          <w:sz w:val="22"/>
          <w:szCs w:val="22"/>
        </w:rPr>
        <w:t xml:space="preserve">. </w:t>
      </w:r>
      <w:r w:rsidRPr="00FD6B05">
        <w:rPr>
          <w:rFonts w:ascii="Times New Roman" w:hAnsi="Times New Roman" w:cs="Times New Roman"/>
          <w:sz w:val="22"/>
          <w:szCs w:val="22"/>
        </w:rPr>
        <w:t>Basingstoke: Palgrave.</w:t>
      </w:r>
    </w:p>
    <w:p w14:paraId="58275A41" w14:textId="7F177A2B" w:rsidR="00EF15F3" w:rsidRPr="00FD6B05" w:rsidRDefault="000965B1" w:rsidP="00EF15F3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Murray, G., </w:t>
      </w:r>
      <w:proofErr w:type="spellStart"/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Uzuka</w:t>
      </w:r>
      <w:proofErr w:type="spellEnd"/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, M., &amp; </w:t>
      </w:r>
      <w:proofErr w:type="spellStart"/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Fujishima</w:t>
      </w:r>
      <w:proofErr w:type="spellEnd"/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, N. (2017). Social language learning spaces: Globalization </w:t>
      </w:r>
      <w:proofErr w:type="spellStart"/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glocalized</w:t>
      </w:r>
      <w:proofErr w:type="spellEnd"/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. </w:t>
      </w:r>
      <w:r w:rsidRPr="00FD6B05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bdr w:val="none" w:sz="0" w:space="0" w:color="auto" w:frame="1"/>
          <w:lang w:val="en-US"/>
        </w:rPr>
        <w:t>Studies in Self-Access Learning Journal, 8(</w:t>
      </w:r>
      <w:r w:rsidR="00EF15F3"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3), 235–</w:t>
      </w:r>
      <w:r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>246.</w:t>
      </w:r>
      <w:r w:rsidR="00EF15F3"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  Retrieved from </w:t>
      </w:r>
      <w:hyperlink r:id="rId6" w:history="1">
        <w:r w:rsidR="00EF15F3" w:rsidRPr="00FD6B05">
          <w:rPr>
            <w:rStyle w:val="Hyperlink"/>
            <w:rFonts w:ascii="Times New Roman" w:eastAsia="Times New Roman" w:hAnsi="Times New Roman" w:cs="Times New Roman"/>
            <w:sz w:val="22"/>
            <w:szCs w:val="22"/>
            <w:shd w:val="clear" w:color="auto" w:fill="FFFFFF"/>
            <w:lang w:val="en-US"/>
          </w:rPr>
          <w:t>https://sisaljournal.org/archives/sep2017/murray_uzuka_fujishima/</w:t>
        </w:r>
      </w:hyperlink>
      <w:r w:rsidR="00EF15F3" w:rsidRPr="00FD6B05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  <w:t xml:space="preserve"> </w:t>
      </w:r>
    </w:p>
    <w:p w14:paraId="6B3847A6" w14:textId="77777777" w:rsidR="00047BE7" w:rsidRPr="00FD6B05" w:rsidRDefault="00047BE7" w:rsidP="00047BE7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G.,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Fujishima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, N., &amp; </w:t>
      </w:r>
      <w:proofErr w:type="spellStart"/>
      <w:r w:rsidRPr="00FD6B05">
        <w:rPr>
          <w:rFonts w:ascii="Times New Roman" w:hAnsi="Times New Roman" w:cs="Times New Roman"/>
          <w:sz w:val="22"/>
          <w:szCs w:val="22"/>
        </w:rPr>
        <w:t>Uzuka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 xml:space="preserve">. M. (2018). Social learning spaces and the invisible fence. In G. Murray &amp; T. Lamb (Eds.) </w:t>
      </w:r>
      <w:r w:rsidRPr="00FD6B05">
        <w:rPr>
          <w:rFonts w:ascii="Times New Roman" w:hAnsi="Times New Roman" w:cs="Times New Roman"/>
          <w:i/>
          <w:sz w:val="22"/>
          <w:szCs w:val="22"/>
        </w:rPr>
        <w:t>Space, place and autonomy in language learning</w:t>
      </w:r>
      <w:r w:rsidRPr="00FD6B05">
        <w:rPr>
          <w:rFonts w:ascii="Times New Roman" w:hAnsi="Times New Roman" w:cs="Times New Roman"/>
          <w:sz w:val="22"/>
          <w:szCs w:val="22"/>
        </w:rPr>
        <w:t xml:space="preserve"> (pp. 233–246). London: Routledge.</w:t>
      </w:r>
    </w:p>
    <w:p w14:paraId="69219CD2" w14:textId="77777777" w:rsidR="00047BE7" w:rsidRPr="00FD6B05" w:rsidRDefault="00047BE7" w:rsidP="00047BE7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Murray, G. &amp; Lamb, T. (2018). Space, place and autonomy and the road not yet take. In G. Murray &amp; T. Lamb (Eds.) </w:t>
      </w:r>
      <w:r w:rsidRPr="00FD6B05">
        <w:rPr>
          <w:rFonts w:ascii="Times New Roman" w:hAnsi="Times New Roman" w:cs="Times New Roman"/>
          <w:i/>
          <w:sz w:val="22"/>
          <w:szCs w:val="22"/>
        </w:rPr>
        <w:t>Space, place and autonomy in language learning</w:t>
      </w:r>
      <w:r w:rsidRPr="00FD6B05">
        <w:rPr>
          <w:rFonts w:ascii="Times New Roman" w:hAnsi="Times New Roman" w:cs="Times New Roman"/>
          <w:sz w:val="22"/>
          <w:szCs w:val="22"/>
        </w:rPr>
        <w:t xml:space="preserve"> (pp. 249–262). London: Routledge.</w:t>
      </w:r>
    </w:p>
    <w:p w14:paraId="498A0552" w14:textId="77777777" w:rsidR="00047BE7" w:rsidRPr="00FD6B05" w:rsidRDefault="00047BE7" w:rsidP="00047BE7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val="en-US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Snyder, W.M. &amp; Wenger, E. (2004). Our world as a learning System: A communities-of-practice approach. In M.L. Conner &amp; J. G. Clawson (Eds.), </w:t>
      </w:r>
      <w:r w:rsidRPr="00FD6B05">
        <w:rPr>
          <w:rFonts w:ascii="Times New Roman" w:hAnsi="Times New Roman" w:cs="Times New Roman"/>
          <w:i/>
          <w:sz w:val="22"/>
          <w:szCs w:val="22"/>
        </w:rPr>
        <w:t>Create a learning culture: Strategy, practice and technology</w:t>
      </w:r>
      <w:r w:rsidRPr="00FD6B05">
        <w:rPr>
          <w:rFonts w:ascii="Times New Roman" w:hAnsi="Times New Roman" w:cs="Times New Roman"/>
          <w:sz w:val="22"/>
          <w:szCs w:val="22"/>
        </w:rPr>
        <w:t xml:space="preserve"> (pp. 35–58). Cambridge: Cambridge University Press.</w:t>
      </w:r>
    </w:p>
    <w:p w14:paraId="7C5FCAAA" w14:textId="77777777" w:rsidR="00C17372" w:rsidRPr="00FD6B05" w:rsidRDefault="00C17372" w:rsidP="00C17372">
      <w:pPr>
        <w:widowControl w:val="0"/>
        <w:tabs>
          <w:tab w:val="center" w:pos="-14642"/>
          <w:tab w:val="decimal" w:pos="-14642"/>
          <w:tab w:val="center" w:pos="-14642"/>
          <w:tab w:val="right" w:pos="-14642"/>
          <w:tab w:val="center" w:pos="-14642"/>
          <w:tab w:val="decimal" w:pos="-14642"/>
          <w:tab w:val="left" w:pos="-9035"/>
          <w:tab w:val="right" w:pos="-14642"/>
          <w:tab w:val="center" w:leader="dot" w:pos="-8520"/>
          <w:tab w:val="center" w:pos="-14642"/>
          <w:tab w:val="left" w:pos="-8396"/>
          <w:tab w:val="right" w:pos="-14642"/>
          <w:tab w:val="left" w:pos="-8353"/>
          <w:tab w:val="right" w:pos="-14642"/>
          <w:tab w:val="right" w:pos="-8300"/>
          <w:tab w:val="decimal" w:pos="-14642"/>
          <w:tab w:val="center" w:leader="dot" w:pos="-8202"/>
          <w:tab w:val="center" w:pos="-14642"/>
          <w:tab w:val="left" w:pos="-8101"/>
          <w:tab w:val="right" w:pos="-14642"/>
          <w:tab w:val="left" w:pos="-14645"/>
          <w:tab w:val="left" w:pos="-8100"/>
          <w:tab w:val="left" w:pos="-47"/>
          <w:tab w:val="left" w:pos="-8960"/>
          <w:tab w:val="center" w:pos="-14642"/>
          <w:tab w:val="right" w:pos="-46"/>
          <w:tab w:val="right" w:pos="-8885"/>
          <w:tab w:val="decimal" w:pos="-14642"/>
          <w:tab w:val="decimal" w:leader="hyphen" w:pos="-44"/>
          <w:tab w:val="right" w:leader="dot" w:pos="-8774"/>
          <w:tab w:val="center" w:pos="-14642"/>
          <w:tab w:val="center" w:pos="-43"/>
          <w:tab w:val="left" w:pos="-8718"/>
          <w:tab w:val="right" w:pos="-14642"/>
          <w:tab w:val="left" w:pos="-42"/>
          <w:tab w:val="left" w:pos="-8633"/>
          <w:tab w:val="center" w:pos="-14642"/>
          <w:tab w:val="decimal" w:pos="-41"/>
          <w:tab w:val="right" w:pos="-8548"/>
          <w:tab w:val="decimal" w:pos="-14642"/>
          <w:tab w:val="right" w:pos="-2572"/>
          <w:tab w:val="center" w:leader="dot" w:pos="-8520"/>
          <w:tab w:val="center" w:pos="-14642"/>
          <w:tab w:val="center" w:pos="-40"/>
          <w:tab w:val="left" w:pos="-8396"/>
          <w:tab w:val="right" w:pos="-14642"/>
          <w:tab w:val="left" w:pos="-38"/>
          <w:tab w:val="left" w:pos="-8353"/>
          <w:tab w:val="right" w:pos="-14642"/>
          <w:tab w:val="left" w:pos="-37"/>
          <w:tab w:val="right" w:pos="-8300"/>
          <w:tab w:val="decimal" w:pos="-14642"/>
          <w:tab w:val="center" w:leader="hyphen" w:pos="-36"/>
          <w:tab w:val="center" w:leader="dot" w:pos="-8202"/>
          <w:tab w:val="center" w:pos="-14642"/>
          <w:tab w:val="center" w:pos="-35"/>
          <w:tab w:val="left" w:pos="-8101"/>
          <w:tab w:val="right" w:pos="-14642"/>
          <w:tab w:val="left" w:pos="-14645"/>
          <w:tab w:val="left" w:pos="-8100"/>
        </w:tabs>
        <w:ind w:left="720" w:hanging="720"/>
        <w:contextualSpacing/>
        <w:rPr>
          <w:rFonts w:ascii="Times New Roman" w:hAnsi="Times New Roman" w:cs="Times New Roman"/>
          <w:sz w:val="22"/>
          <w:szCs w:val="22"/>
          <w:lang w:val="en-CA"/>
        </w:rPr>
      </w:pPr>
      <w:proofErr w:type="spellStart"/>
      <w:r w:rsidRPr="00FD6B05">
        <w:rPr>
          <w:rFonts w:ascii="Times New Roman" w:hAnsi="Times New Roman" w:cs="Times New Roman"/>
          <w:sz w:val="22"/>
          <w:szCs w:val="22"/>
        </w:rPr>
        <w:t>Uzuka</w:t>
      </w:r>
      <w:proofErr w:type="spellEnd"/>
      <w:r w:rsidRPr="00FD6B05">
        <w:rPr>
          <w:rFonts w:ascii="Times New Roman" w:hAnsi="Times New Roman" w:cs="Times New Roman"/>
          <w:sz w:val="22"/>
          <w:szCs w:val="22"/>
        </w:rPr>
        <w:t>, M. (2016). Five years at the L-café: The secret of its success. In G.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Murray &amp; N.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Fujishima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(Eds.), </w:t>
      </w:r>
      <w:r w:rsidRPr="00FD6B05">
        <w:rPr>
          <w:rFonts w:ascii="Times New Roman" w:hAnsi="Times New Roman" w:cs="Times New Roman"/>
          <w:i/>
          <w:sz w:val="22"/>
          <w:szCs w:val="22"/>
          <w:lang w:val="en-CA"/>
        </w:rPr>
        <w:t>Social spaces for language learning: Stories from the L-café</w:t>
      </w:r>
      <w:r w:rsidRPr="00FD6B05">
        <w:rPr>
          <w:rFonts w:ascii="Times New Roman" w:hAnsi="Times New Roman" w:cs="Times New Roman"/>
          <w:sz w:val="22"/>
          <w:szCs w:val="22"/>
          <w:lang w:val="en-CA"/>
        </w:rPr>
        <w:t xml:space="preserve"> (pp. 21–30). Basingstoke: Palgrave. </w:t>
      </w:r>
      <w:proofErr w:type="spellStart"/>
      <w:r w:rsidRPr="00FD6B05">
        <w:rPr>
          <w:rFonts w:ascii="Times New Roman" w:hAnsi="Times New Roman" w:cs="Times New Roman"/>
          <w:sz w:val="22"/>
          <w:szCs w:val="22"/>
          <w:lang w:val="en-CA"/>
        </w:rPr>
        <w:t>doi</w:t>
      </w:r>
      <w:proofErr w:type="spellEnd"/>
      <w:r w:rsidRPr="00FD6B05">
        <w:rPr>
          <w:rFonts w:ascii="Times New Roman" w:hAnsi="Times New Roman" w:cs="Times New Roman"/>
          <w:sz w:val="22"/>
          <w:szCs w:val="22"/>
          <w:lang w:val="en-CA"/>
        </w:rPr>
        <w:t>: 10.1057/978113730103.0006</w:t>
      </w:r>
    </w:p>
    <w:p w14:paraId="01EED2C0" w14:textId="77777777" w:rsidR="00C17372" w:rsidRPr="00FD6B05" w:rsidRDefault="00C17372" w:rsidP="00C17372">
      <w:pPr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van Lier, L. (2004). </w:t>
      </w:r>
      <w:r w:rsidRPr="00FD6B05">
        <w:rPr>
          <w:rFonts w:ascii="Times New Roman" w:hAnsi="Times New Roman" w:cs="Times New Roman"/>
          <w:i/>
          <w:sz w:val="22"/>
          <w:szCs w:val="22"/>
        </w:rPr>
        <w:t>The ecology and semiotics of language learning: A sociocultural perspective.</w:t>
      </w:r>
      <w:r w:rsidRPr="00FD6B05">
        <w:rPr>
          <w:rFonts w:ascii="Times New Roman" w:hAnsi="Times New Roman" w:cs="Times New Roman"/>
          <w:sz w:val="22"/>
          <w:szCs w:val="22"/>
        </w:rPr>
        <w:t xml:space="preserve"> Boston: Kluwer.</w:t>
      </w:r>
    </w:p>
    <w:p w14:paraId="4217ADF2" w14:textId="77777777" w:rsidR="00C17372" w:rsidRPr="00FD6B05" w:rsidRDefault="00C17372" w:rsidP="00C17372">
      <w:pPr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t xml:space="preserve">Vygotsky, L.S. (1978). </w:t>
      </w:r>
      <w:r w:rsidRPr="00FD6B05">
        <w:rPr>
          <w:rFonts w:ascii="Times New Roman" w:hAnsi="Times New Roman" w:cs="Times New Roman"/>
          <w:i/>
          <w:sz w:val="22"/>
          <w:szCs w:val="22"/>
        </w:rPr>
        <w:t>Mind in society.</w:t>
      </w:r>
      <w:r w:rsidRPr="00FD6B05">
        <w:rPr>
          <w:rFonts w:ascii="Times New Roman" w:hAnsi="Times New Roman" w:cs="Times New Roman"/>
          <w:sz w:val="22"/>
          <w:szCs w:val="22"/>
        </w:rPr>
        <w:t xml:space="preserve"> Cambridge: Cambridge University Press.</w:t>
      </w:r>
    </w:p>
    <w:p w14:paraId="2178FE7A" w14:textId="77777777" w:rsidR="00C17372" w:rsidRPr="00FD6B05" w:rsidRDefault="00C17372" w:rsidP="00C17372">
      <w:pPr>
        <w:widowControl w:val="0"/>
        <w:snapToGrid w:val="0"/>
        <w:ind w:left="720" w:hanging="720"/>
        <w:contextualSpacing/>
        <w:rPr>
          <w:rFonts w:ascii="Times New Roman" w:hAnsi="Times New Roman" w:cs="Times New Roman"/>
          <w:sz w:val="22"/>
          <w:szCs w:val="22"/>
        </w:rPr>
      </w:pPr>
      <w:r w:rsidRPr="00FD6B05">
        <w:rPr>
          <w:rFonts w:ascii="Times New Roman" w:hAnsi="Times New Roman" w:cs="Times New Roman"/>
          <w:sz w:val="22"/>
          <w:szCs w:val="22"/>
        </w:rPr>
        <w:fldChar w:fldCharType="begin"/>
      </w:r>
      <w:r w:rsidRPr="00FD6B05">
        <w:rPr>
          <w:rFonts w:ascii="Times New Roman" w:hAnsi="Times New Roman" w:cs="Times New Roman"/>
          <w:sz w:val="22"/>
          <w:szCs w:val="22"/>
        </w:rPr>
        <w:instrText xml:space="preserve"> SEQ CHAPTER \h \r 1</w:instrText>
      </w:r>
      <w:r w:rsidRPr="00FD6B05">
        <w:rPr>
          <w:rFonts w:ascii="Times New Roman" w:hAnsi="Times New Roman" w:cs="Times New Roman"/>
          <w:sz w:val="22"/>
          <w:szCs w:val="22"/>
        </w:rPr>
        <w:fldChar w:fldCharType="end"/>
      </w:r>
      <w:r w:rsidRPr="00FD6B05">
        <w:rPr>
          <w:rFonts w:ascii="Times New Roman" w:hAnsi="Times New Roman" w:cs="Times New Roman"/>
          <w:sz w:val="22"/>
          <w:szCs w:val="22"/>
        </w:rPr>
        <w:t>Wenger, E., McDermott, R.</w:t>
      </w:r>
      <w:r w:rsidRPr="00FD6B05">
        <w:rPr>
          <w:rFonts w:ascii="Times New Roman" w:eastAsia="SimSun" w:hAnsi="Times New Roman" w:cs="Times New Roman"/>
          <w:sz w:val="22"/>
          <w:szCs w:val="22"/>
          <w:lang w:eastAsia="zh-CN"/>
        </w:rPr>
        <w:t>, &amp;</w:t>
      </w:r>
      <w:r w:rsidRPr="00FD6B05">
        <w:rPr>
          <w:rFonts w:ascii="Times New Roman" w:hAnsi="Times New Roman" w:cs="Times New Roman"/>
          <w:sz w:val="22"/>
          <w:szCs w:val="22"/>
        </w:rPr>
        <w:t xml:space="preserve"> Snyder</w:t>
      </w:r>
      <w:r w:rsidRPr="00FD6B05">
        <w:rPr>
          <w:rFonts w:ascii="Times New Roman" w:eastAsia="SimSun" w:hAnsi="Times New Roman" w:cs="Times New Roman"/>
          <w:sz w:val="22"/>
          <w:szCs w:val="22"/>
          <w:lang w:eastAsia="zh-CN"/>
        </w:rPr>
        <w:t>,</w:t>
      </w:r>
      <w:r w:rsidRPr="00FD6B05">
        <w:rPr>
          <w:rFonts w:ascii="Times New Roman" w:hAnsi="Times New Roman" w:cs="Times New Roman"/>
          <w:sz w:val="22"/>
          <w:szCs w:val="22"/>
        </w:rPr>
        <w:t xml:space="preserve"> W. M. (2002). </w:t>
      </w:r>
      <w:r w:rsidRPr="00FD6B05">
        <w:rPr>
          <w:rFonts w:ascii="Times New Roman" w:hAnsi="Times New Roman" w:cs="Times New Roman"/>
          <w:i/>
          <w:iCs/>
          <w:sz w:val="22"/>
          <w:szCs w:val="22"/>
        </w:rPr>
        <w:t xml:space="preserve">Cultivating </w:t>
      </w:r>
      <w:r w:rsidRPr="00FD6B05">
        <w:rPr>
          <w:rFonts w:ascii="Times New Roman" w:eastAsia="SimSun" w:hAnsi="Times New Roman" w:cs="Times New Roman"/>
          <w:i/>
          <w:iCs/>
          <w:sz w:val="22"/>
          <w:szCs w:val="22"/>
          <w:lang w:eastAsia="zh-CN"/>
        </w:rPr>
        <w:t>c</w:t>
      </w:r>
      <w:r w:rsidRPr="00FD6B05">
        <w:rPr>
          <w:rFonts w:ascii="Times New Roman" w:hAnsi="Times New Roman" w:cs="Times New Roman"/>
          <w:i/>
          <w:iCs/>
          <w:sz w:val="22"/>
          <w:szCs w:val="22"/>
        </w:rPr>
        <w:t xml:space="preserve">ommunities of </w:t>
      </w:r>
      <w:r w:rsidRPr="00FD6B05">
        <w:rPr>
          <w:rFonts w:ascii="Times New Roman" w:eastAsia="SimSun" w:hAnsi="Times New Roman" w:cs="Times New Roman"/>
          <w:i/>
          <w:iCs/>
          <w:sz w:val="22"/>
          <w:szCs w:val="22"/>
          <w:lang w:eastAsia="zh-CN"/>
        </w:rPr>
        <w:t>p</w:t>
      </w:r>
      <w:r w:rsidRPr="00FD6B05">
        <w:rPr>
          <w:rFonts w:ascii="Times New Roman" w:hAnsi="Times New Roman" w:cs="Times New Roman"/>
          <w:i/>
          <w:iCs/>
          <w:sz w:val="22"/>
          <w:szCs w:val="22"/>
        </w:rPr>
        <w:t xml:space="preserve">ractice: A </w:t>
      </w:r>
      <w:r w:rsidRPr="00FD6B05">
        <w:rPr>
          <w:rFonts w:ascii="Times New Roman" w:eastAsia="SimSun" w:hAnsi="Times New Roman" w:cs="Times New Roman"/>
          <w:i/>
          <w:iCs/>
          <w:sz w:val="22"/>
          <w:szCs w:val="22"/>
          <w:lang w:eastAsia="zh-CN"/>
        </w:rPr>
        <w:t>g</w:t>
      </w:r>
      <w:r w:rsidRPr="00FD6B05">
        <w:rPr>
          <w:rFonts w:ascii="Times New Roman" w:hAnsi="Times New Roman" w:cs="Times New Roman"/>
          <w:i/>
          <w:iCs/>
          <w:sz w:val="22"/>
          <w:szCs w:val="22"/>
        </w:rPr>
        <w:t xml:space="preserve">uide to </w:t>
      </w:r>
      <w:r w:rsidRPr="00FD6B05">
        <w:rPr>
          <w:rFonts w:ascii="Times New Roman" w:eastAsia="SimSun" w:hAnsi="Times New Roman" w:cs="Times New Roman"/>
          <w:i/>
          <w:iCs/>
          <w:sz w:val="22"/>
          <w:szCs w:val="22"/>
          <w:lang w:eastAsia="zh-CN"/>
        </w:rPr>
        <w:t>m</w:t>
      </w:r>
      <w:r w:rsidRPr="00FD6B05">
        <w:rPr>
          <w:rFonts w:ascii="Times New Roman" w:hAnsi="Times New Roman" w:cs="Times New Roman"/>
          <w:i/>
          <w:iCs/>
          <w:sz w:val="22"/>
          <w:szCs w:val="22"/>
        </w:rPr>
        <w:t xml:space="preserve">anaging </w:t>
      </w:r>
      <w:r w:rsidRPr="00FD6B05">
        <w:rPr>
          <w:rFonts w:ascii="Times New Roman" w:eastAsia="SimSun" w:hAnsi="Times New Roman" w:cs="Times New Roman"/>
          <w:i/>
          <w:iCs/>
          <w:sz w:val="22"/>
          <w:szCs w:val="22"/>
          <w:lang w:eastAsia="zh-CN"/>
        </w:rPr>
        <w:t>k</w:t>
      </w:r>
      <w:r w:rsidRPr="00FD6B05">
        <w:rPr>
          <w:rFonts w:ascii="Times New Roman" w:hAnsi="Times New Roman" w:cs="Times New Roman"/>
          <w:i/>
          <w:iCs/>
          <w:sz w:val="22"/>
          <w:szCs w:val="22"/>
        </w:rPr>
        <w:t>nowledge.</w:t>
      </w:r>
      <w:r w:rsidRPr="00FD6B05">
        <w:rPr>
          <w:rFonts w:ascii="Times New Roman" w:hAnsi="Times New Roman" w:cs="Times New Roman"/>
          <w:sz w:val="22"/>
          <w:szCs w:val="22"/>
        </w:rPr>
        <w:t xml:space="preserve"> Boston: Harvard Business School Press.</w:t>
      </w:r>
    </w:p>
    <w:p w14:paraId="385051D3" w14:textId="77777777" w:rsidR="00C17372" w:rsidRPr="00FD6B05" w:rsidRDefault="00C17372" w:rsidP="00C17372">
      <w:pPr>
        <w:ind w:left="720" w:hanging="720"/>
        <w:rPr>
          <w:rFonts w:ascii="Times New Roman" w:hAnsi="Times New Roman" w:cs="Times New Roman"/>
          <w:sz w:val="22"/>
          <w:szCs w:val="22"/>
        </w:rPr>
      </w:pPr>
    </w:p>
    <w:sectPr w:rsidR="00C17372" w:rsidRPr="00FD6B05" w:rsidSect="00977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DA4"/>
    <w:rsid w:val="00047BE7"/>
    <w:rsid w:val="000965B1"/>
    <w:rsid w:val="002743B3"/>
    <w:rsid w:val="00496DF2"/>
    <w:rsid w:val="004A1D7A"/>
    <w:rsid w:val="0055347C"/>
    <w:rsid w:val="00607DA4"/>
    <w:rsid w:val="00686A12"/>
    <w:rsid w:val="0097798B"/>
    <w:rsid w:val="009B6005"/>
    <w:rsid w:val="009C1710"/>
    <w:rsid w:val="009F29A3"/>
    <w:rsid w:val="00A56EEB"/>
    <w:rsid w:val="00C17372"/>
    <w:rsid w:val="00C452E9"/>
    <w:rsid w:val="00C7721E"/>
    <w:rsid w:val="00EF15F3"/>
    <w:rsid w:val="00FD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DE92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17372"/>
  </w:style>
  <w:style w:type="paragraph" w:styleId="FootnoteText">
    <w:name w:val="footnote text"/>
    <w:basedOn w:val="Normal"/>
    <w:link w:val="FootnoteTextChar"/>
    <w:uiPriority w:val="99"/>
    <w:unhideWhenUsed/>
    <w:rsid w:val="00C17372"/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7372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C7721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  <w:style w:type="character" w:styleId="Emphasis">
    <w:name w:val="Emphasis"/>
    <w:basedOn w:val="DefaultParagraphFont"/>
    <w:uiPriority w:val="20"/>
    <w:qFormat/>
    <w:rsid w:val="000965B1"/>
    <w:rPr>
      <w:i/>
      <w:iCs/>
    </w:rPr>
  </w:style>
  <w:style w:type="character" w:styleId="Hyperlink">
    <w:name w:val="Hyperlink"/>
    <w:basedOn w:val="DefaultParagraphFont"/>
    <w:uiPriority w:val="99"/>
    <w:unhideWhenUsed/>
    <w:rsid w:val="00EF15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sisaljournal.org/archives/jun2017/murray1/" TargetMode="External"/><Relationship Id="rId5" Type="http://schemas.openxmlformats.org/officeDocument/2006/relationships/hyperlink" Target="https://sisaljournal.org/archives/jun2017/murray2/" TargetMode="External"/><Relationship Id="rId6" Type="http://schemas.openxmlformats.org/officeDocument/2006/relationships/hyperlink" Target="https://sisaljournal.org/archives/sep2017/murray_uzuka_fujishima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941</Words>
  <Characters>5370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2017-12-06T00:04:00Z</dcterms:created>
  <dcterms:modified xsi:type="dcterms:W3CDTF">2017-12-06T00:10:00Z</dcterms:modified>
</cp:coreProperties>
</file>